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8446F" w14:textId="77777777" w:rsidR="00335DD7" w:rsidRPr="00335DD7" w:rsidRDefault="00335DD7">
      <w:pPr>
        <w:rPr>
          <w:rFonts w:ascii="Times New Roman" w:hAnsi="Times New Roman" w:cs="Times New Roman"/>
          <w:sz w:val="24"/>
          <w:szCs w:val="24"/>
        </w:rPr>
      </w:pPr>
    </w:p>
    <w:p w14:paraId="29225DF3" w14:textId="267B057A" w:rsidR="00335DD7" w:rsidRDefault="00335DD7">
      <w:pPr>
        <w:rPr>
          <w:rFonts w:ascii="Times New Roman" w:hAnsi="Times New Roman" w:cs="Times New Roman"/>
          <w:sz w:val="24"/>
          <w:szCs w:val="24"/>
        </w:rPr>
      </w:pPr>
      <w:r w:rsidRPr="00335DD7">
        <w:rPr>
          <w:rFonts w:ascii="Times New Roman" w:hAnsi="Times New Roman" w:cs="Times New Roman"/>
          <w:sz w:val="24"/>
          <w:szCs w:val="24"/>
        </w:rPr>
        <w:t>VAS ”Latvenergo” sniegtais pakalpojums.</w:t>
      </w:r>
    </w:p>
    <w:p w14:paraId="3E117902" w14:textId="588DD6C3" w:rsidR="006B6596" w:rsidRPr="00335DD7" w:rsidRDefault="00335DD7" w:rsidP="00335DD7">
      <w:pPr>
        <w:jc w:val="both"/>
        <w:rPr>
          <w:rFonts w:ascii="Times New Roman" w:hAnsi="Times New Roman" w:cs="Times New Roman"/>
          <w:sz w:val="24"/>
          <w:szCs w:val="24"/>
        </w:rPr>
      </w:pPr>
      <w:r w:rsidRPr="00335DD7">
        <w:rPr>
          <w:rFonts w:ascii="Times New Roman" w:hAnsi="Times New Roman" w:cs="Times New Roman"/>
          <w:sz w:val="24"/>
          <w:szCs w:val="24"/>
        </w:rPr>
        <w:t xml:space="preserve">Komunālā apgaismojuma tarifi ir identiski valstī noteiktajiem elektroenerģijas tarifiem. Katrā dzīvojamā mājā, kurā ir pieslēgts komunālais apgaismojums, ir uzstādīts elektroenerģijas skaitītājs. Katru mēnesi šī skaitītāja rādījumus nolasa </w:t>
      </w:r>
      <w:proofErr w:type="spellStart"/>
      <w:r w:rsidRPr="00335DD7">
        <w:rPr>
          <w:rFonts w:ascii="Times New Roman" w:hAnsi="Times New Roman" w:cs="Times New Roman"/>
          <w:sz w:val="24"/>
          <w:szCs w:val="24"/>
        </w:rPr>
        <w:t>apsaimniekotāja</w:t>
      </w:r>
      <w:proofErr w:type="spellEnd"/>
      <w:r w:rsidRPr="00335DD7">
        <w:rPr>
          <w:rFonts w:ascii="Times New Roman" w:hAnsi="Times New Roman" w:cs="Times New Roman"/>
          <w:sz w:val="24"/>
          <w:szCs w:val="24"/>
        </w:rPr>
        <w:t xml:space="preserve"> elektriķis. Katras mājas komunālā apgaismojuma izdevumu summa tiek dalīta ar šīs mājas dzīvokļu skaitu ( pēc MK 09.12.2008. Noteikumu Nr. 1013, 17.6.p.), kas veido maksu par komunālo apgaismojumu.</w:t>
      </w:r>
    </w:p>
    <w:sectPr w:rsidR="006B6596" w:rsidRPr="00335D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D7"/>
    <w:rsid w:val="00335DD7"/>
    <w:rsid w:val="006B6596"/>
    <w:rsid w:val="00BA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DCA3E2"/>
  <w15:chartTrackingRefBased/>
  <w15:docId w15:val="{A0CEB8B0-E24C-4229-8700-6E473FC6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180</Characters>
  <Application>Microsoft Office Word</Application>
  <DocSecurity>0</DocSecurity>
  <Lines>1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2022-11-15T10:01:00Z</dcterms:created>
  <dcterms:modified xsi:type="dcterms:W3CDTF">2022-11-15T10:03:00Z</dcterms:modified>
</cp:coreProperties>
</file>